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CellSpacing w:w="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7F0F9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54"/>
        <w:gridCol w:w="6746"/>
      </w:tblGrid>
      <w:tr w14:paraId="6FD4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0F9"/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7B0FF3E">
            <w:pPr>
              <w:spacing w:before="0" w:after="0" w:line="240" w:lineRule="auto"/>
              <w:jc w:val="left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shd w:val="clear" w:color="auto" w:fill="E7F0F9"/>
          </w:tcPr>
          <w:p w14:paraId="1E5A47DF">
            <w:pPr>
              <w:spacing w:before="0" w:after="0" w:line="240" w:lineRule="auto"/>
              <w:jc w:val="left"/>
            </w:pPr>
            <w:r>
              <w:t>11767</w:t>
            </w:r>
          </w:p>
        </w:tc>
      </w:tr>
      <w:tr w14:paraId="21B7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0F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02A8373">
            <w:pPr>
              <w:spacing w:before="0" w:after="0" w:line="240" w:lineRule="auto"/>
              <w:jc w:val="left"/>
            </w:pPr>
            <w:r>
              <w:rPr>
                <w:b/>
              </w:rPr>
              <w:t>Naziv obveznika</w:t>
            </w:r>
          </w:p>
        </w:tc>
        <w:tc>
          <w:tcPr>
            <w:shd w:val="clear" w:color="auto" w:fill="E7F0F9"/>
          </w:tcPr>
          <w:p w14:paraId="2E654DF5">
            <w:pPr>
              <w:spacing w:before="0" w:after="0" w:line="240" w:lineRule="auto"/>
              <w:jc w:val="left"/>
            </w:pPr>
            <w:r>
              <w:t>OSNOVNA ŠKOLA PETAR ZORANIĆ</w:t>
            </w:r>
          </w:p>
        </w:tc>
      </w:tr>
      <w:tr w14:paraId="3F7C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7F0F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C5FACE9">
            <w:pPr>
              <w:spacing w:before="0" w:after="0" w:line="240" w:lineRule="auto"/>
              <w:jc w:val="left"/>
            </w:pPr>
            <w:r>
              <w:rPr>
                <w:b/>
              </w:rPr>
              <w:t>Razina</w:t>
            </w:r>
          </w:p>
        </w:tc>
        <w:tc>
          <w:tcPr>
            <w:shd w:val="clear" w:color="auto" w:fill="E7F0F9"/>
          </w:tcPr>
          <w:p w14:paraId="386E712A">
            <w:pPr>
              <w:spacing w:before="0" w:after="0" w:line="240" w:lineRule="auto"/>
              <w:jc w:val="left"/>
            </w:pPr>
            <w:r>
              <w:t>31</w:t>
            </w:r>
          </w:p>
        </w:tc>
      </w:tr>
    </w:tbl>
    <w:p w14:paraId="60AB3C27">
      <w:r>
        <w:br w:type="textWrapping"/>
      </w:r>
    </w:p>
    <w:p w14:paraId="6FA41CCD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BILJEŠKE UZ FINANCIJSKE IZVJEŠTAJE</w:t>
      </w:r>
    </w:p>
    <w:p w14:paraId="6A90270C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ZA RAZDOBLJE</w:t>
      </w:r>
    </w:p>
    <w:p w14:paraId="69555F66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I - VI 2025.</w:t>
      </w:r>
    </w:p>
    <w:p w14:paraId="50B91E8E"/>
    <w:p w14:paraId="232C7E88">
      <w:pPr>
        <w:keepNext/>
        <w:spacing w:line="240" w:lineRule="auto"/>
        <w:jc w:val="center"/>
      </w:pPr>
      <w:r>
        <w:rPr>
          <w:rFonts w:ascii="Times New Roman" w:hAnsi="Times New Roman"/>
          <w:b/>
          <w:sz w:val="28"/>
        </w:rPr>
        <w:t>Izvještaj o prihodima i rashodima, primicima i izdacima</w:t>
      </w:r>
    </w:p>
    <w:p w14:paraId="19580F1F">
      <w:pPr>
        <w:keepNext/>
        <w:spacing w:line="240" w:lineRule="auto"/>
        <w:jc w:val="center"/>
      </w:pPr>
      <w:r>
        <w:rPr>
          <w:rFonts w:ascii="Times New Roman" w:hAnsi="Times New Roman"/>
          <w:sz w:val="28"/>
        </w:rPr>
        <w:t>Bilješka 1.</w:t>
      </w:r>
    </w:p>
    <w:tbl>
      <w:tblPr>
        <w:tblStyle w:val="3"/>
        <w:tblW w:w="0" w:type="auto"/>
        <w:tblInd w:w="0" w:type="dxa"/>
        <w:tblBorders>
          <w:top w:val="single" w:color="BABABA" w:sz="12" w:space="0"/>
          <w:left w:val="single" w:color="BABABA" w:sz="12" w:space="0"/>
          <w:bottom w:val="single" w:color="BABABA" w:sz="12" w:space="0"/>
          <w:right w:val="single" w:color="BABABA" w:sz="12" w:space="0"/>
          <w:insideH w:val="single" w:color="BABABA" w:sz="8" w:space="0"/>
          <w:insideV w:val="single" w:color="DADADA" w:sz="8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 w14:paraId="630D5C75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1D0FCD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8270C6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86B4E0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EF16B6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704EB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610E7D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Indeks (%)</w:t>
            </w:r>
          </w:p>
        </w:tc>
      </w:tr>
      <w:tr w14:paraId="0AAF64E7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02D63A20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9475028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1E5E5520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1C4A58C2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778.519,01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38247C9F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885.747,82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70D8301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113,8</w:t>
            </w:r>
          </w:p>
        </w:tc>
      </w:tr>
      <w:tr w14:paraId="65CDF5AE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525869AC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BEFFB0D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RASHODI POSLOVANJA (šifre 31+32+34+35+36+37+38)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1E2603E3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13CA372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749.575,02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A6652E1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911.636,66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E1D1DA4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121,6</w:t>
            </w:r>
          </w:p>
        </w:tc>
      </w:tr>
      <w:tr w14:paraId="4BB864BB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394C38BB">
            <w:pPr>
              <w:keepNext/>
              <w:keepLines/>
              <w:spacing w:before="0" w:after="0" w:line="240" w:lineRule="auto"/>
              <w:jc w:val="left"/>
            </w:pP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33DADE67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148602D6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2B957B3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77C9BCD8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25.888,84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2C895A4C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14:paraId="0AAC1A35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583CE56B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D3288FB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9D2D841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7705FB21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176FF6D0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C0E49DA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14:paraId="1AE9A4C0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7C3F98CB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58A131B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178A3515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F343301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375,54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B530A26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65.931,08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00F892B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&gt;&gt;100</w:t>
            </w:r>
          </w:p>
        </w:tc>
      </w:tr>
      <w:tr w14:paraId="7BB9722F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2AFCA0B7">
            <w:pPr>
              <w:keepNext/>
              <w:keepLines/>
              <w:spacing w:before="0" w:after="0" w:line="240" w:lineRule="auto"/>
              <w:jc w:val="left"/>
            </w:pP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DD3924A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5EC12D6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CAA6AF0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375,54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3C7AAFDB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65.931,08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C900E39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&gt;&gt;100</w:t>
            </w:r>
          </w:p>
        </w:tc>
      </w:tr>
      <w:tr w14:paraId="29F778A9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0F5AF8CF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AB4C495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334BD748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F5EB0AD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E1BE3C8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DF64F32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14:paraId="59183295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65A1D553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C5DA7AF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288F7696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218CBCFD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A5D86D2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B34D460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14:paraId="49416343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6B17283E">
            <w:pPr>
              <w:keepNext/>
              <w:keepLines/>
              <w:spacing w:before="0" w:after="0" w:line="240" w:lineRule="auto"/>
              <w:jc w:val="left"/>
            </w:pP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A3EAA1E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CCD9D15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7682488F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263BF589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735E0FFB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14:paraId="6EEAA703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32D1439D">
            <w:pPr>
              <w:keepNext/>
              <w:keepLines/>
              <w:spacing w:before="0" w:after="0" w:line="240" w:lineRule="auto"/>
              <w:jc w:val="left"/>
            </w:pP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C2222FF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8053106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b/>
                <w:sz w:val="18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3F05DA8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4025759A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91.819,92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33E18C65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</w:tbl>
    <w:p w14:paraId="44E4F06D">
      <w:pPr>
        <w:spacing w:before="0" w:after="0"/>
      </w:pPr>
    </w:p>
    <w:p w14:paraId="47966A0E">
      <w:pPr>
        <w:spacing w:line="240" w:lineRule="auto"/>
        <w:jc w:val="both"/>
      </w:pPr>
      <w:r>
        <w:rPr>
          <w:rFonts w:ascii="Times New Roman" w:hAnsi="Times New Roman"/>
          <w:sz w:val="24"/>
        </w:rPr>
        <w:t>Povećanje rashoda posljedica je povećanja plaća temeljem kolektivnog ugovora te porasta obveznih doprinosa i ostalih naknada.
Manjak prihoda poslovanja dogodio se zbog novog pravilnika u proračunskom računovodstvu. 
Manjak prihoda od nefinancijske imovine odnosi se na kapitalna ulaganja u školsko igralište.
Zaključno manjak je rezultat strukturnog rasta rashoda vezanog uz radnu snagu i kapitalna ulaganja, dok prihodi nisu rasli istim intenzitetom.
</w:t>
      </w:r>
    </w:p>
    <w:p w14:paraId="725A064E">
      <w:r>
        <w:br w:type="textWrapping"/>
      </w:r>
    </w:p>
    <w:p w14:paraId="424AB7C1">
      <w:pPr>
        <w:keepNext/>
        <w:spacing w:line="240" w:lineRule="auto"/>
        <w:jc w:val="center"/>
      </w:pPr>
      <w:r>
        <w:rPr>
          <w:rFonts w:ascii="Times New Roman" w:hAnsi="Times New Roman"/>
          <w:b/>
          <w:sz w:val="28"/>
        </w:rPr>
        <w:t>Izvještaj o obvezama</w:t>
      </w:r>
    </w:p>
    <w:p w14:paraId="6B50E674">
      <w:pPr>
        <w:keepNext/>
        <w:spacing w:line="240" w:lineRule="auto"/>
        <w:jc w:val="center"/>
      </w:pPr>
      <w:r>
        <w:rPr>
          <w:rFonts w:ascii="Times New Roman" w:hAnsi="Times New Roman"/>
          <w:sz w:val="28"/>
        </w:rPr>
        <w:t>Bilješka 2.</w:t>
      </w:r>
    </w:p>
    <w:tbl>
      <w:tblPr>
        <w:tblStyle w:val="3"/>
        <w:tblW w:w="9000" w:type="dxa"/>
        <w:tblInd w:w="0" w:type="dxa"/>
        <w:tblBorders>
          <w:top w:val="single" w:color="BABABA" w:sz="12" w:space="0"/>
          <w:left w:val="single" w:color="BABABA" w:sz="12" w:space="0"/>
          <w:bottom w:val="single" w:color="BABABA" w:sz="12" w:space="0"/>
          <w:right w:val="single" w:color="BABABA" w:sz="12" w:space="0"/>
          <w:insideH w:val="single" w:color="BABABA" w:sz="8" w:space="0"/>
          <w:insideV w:val="single" w:color="DADADA" w:sz="8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 w14:paraId="52CF82F1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30694D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743F1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BF3F54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3463E8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5B3B1">
            <w:pPr>
              <w:keepNext/>
              <w:keepLines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Indeks (%)</w:t>
            </w:r>
          </w:p>
        </w:tc>
      </w:tr>
      <w:tr w14:paraId="6019438F">
        <w:tblPrEx>
          <w:tblBorders>
            <w:top w:val="single" w:color="BABABA" w:sz="12" w:space="0"/>
            <w:left w:val="single" w:color="BABABA" w:sz="12" w:space="0"/>
            <w:bottom w:val="single" w:color="BABABA" w:sz="12" w:space="0"/>
            <w:right w:val="single" w:color="BABABA" w:sz="12" w:space="0"/>
            <w:insideH w:val="single" w:color="BABABA" w:sz="8" w:space="0"/>
            <w:insideV w:val="single" w:color="DADADA" w:sz="8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60" w:hRule="atLeast"/>
        </w:trPr>
        <w:tc>
          <w:tcPr>
            <w:tcMar>
              <w:top w:w="0" w:type="dxa"/>
              <w:bottom w:w="0" w:type="dxa"/>
            </w:tcMar>
            <w:vAlign w:val="center"/>
          </w:tcPr>
          <w:p w14:paraId="7F4C43E5">
            <w:pPr>
              <w:keepNext/>
              <w:keepLines/>
              <w:spacing w:before="0" w:after="0" w:line="240" w:lineRule="auto"/>
              <w:jc w:val="left"/>
            </w:pP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6D4E28C9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5CD8A56B">
            <w:pPr>
              <w:keepNext/>
              <w:keepLines/>
              <w:spacing w:before="0" w:after="0" w:line="240" w:lineRule="auto"/>
              <w:jc w:val="left"/>
            </w:pPr>
            <w:r>
              <w:rPr>
                <w:rFonts w:ascii="Times New Roman" w:hAnsi="Times New Roman"/>
                <w:sz w:val="18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09F06B71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 w14:paraId="38388722">
            <w:pPr>
              <w:keepNext/>
              <w:keepLines/>
              <w:spacing w:before="0" w:after="0" w:line="240" w:lineRule="auto"/>
              <w:jc w:val="right"/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14:paraId="4538F2C8">
      <w:pPr>
        <w:spacing w:before="0" w:after="0"/>
      </w:pPr>
    </w:p>
    <w:p w14:paraId="0D278BF5">
      <w:pPr>
        <w:spacing w:line="240" w:lineRule="auto"/>
        <w:jc w:val="both"/>
      </w:pPr>
      <w:r>
        <w:rPr>
          <w:rFonts w:ascii="Times New Roman" w:hAnsi="Times New Roman"/>
          <w:sz w:val="24"/>
        </w:rPr>
        <w:t>BILJEŠKE UZ OBRAZAC IZVJEŠTAJ O OBVEZAMA 1. ŠIFRA 2- Obveze (413.764,84 euro)
Stanje obveza na dan 30.06.2025. pokazuje rast u odnosu na stanje u istom razdoblju prošle godine a odnosi se na povećanje obveza i neplaćene dospjele račune. 
ŠIFRA V001- Stanje obveza na početku obračunskog razdoblja: 318.047,86 euro
ŠIFRA V006- Stanje obveza na kraju izvještajnog razdoblja: 413.764,84 euro
ŠIFRA V009- Stanje nedospjelih obveza na kraju izvještajnog razdoblja: 413.764,84 euro</w:t>
      </w:r>
    </w:p>
    <w:p w14:paraId="53E4B7A8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216A6"/>
    <w:rsid w:val="2C355316"/>
    <w:rsid w:val="3D7F0387"/>
    <w:rsid w:val="44846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/>
      <w:sz w:val="24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2025-07-16T10:02:39Z</dcterms:created>
  <dc:creator>User081</dc:creator>
  <cp:lastModifiedBy>User081</cp:lastModifiedBy>
  <dcterms:modified xsi:type="dcterms:W3CDTF">2025-07-16T10:03:21Z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1F83A5AB56AE491BB27E821D8F18F72C_13</vt:lpwstr>
  </property>
</Properties>
</file>