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00" w:type="dxa"/>
        <w:tblCellSpacing w:w="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E7F0F9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54"/>
        <w:gridCol w:w="6746"/>
      </w:tblGrid>
      <w:tr w14:paraId="6B81F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325BB63">
            <w:pPr>
              <w:spacing w:before="0" w:after="0" w:line="240" w:lineRule="auto"/>
              <w:jc w:val="left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shd w:val="clear" w:color="auto" w:fill="E7F0F9"/>
          </w:tcPr>
          <w:p w14:paraId="5EEB2CE9">
            <w:pPr>
              <w:spacing w:before="0" w:after="0" w:line="240" w:lineRule="auto"/>
              <w:jc w:val="left"/>
            </w:pPr>
            <w:r>
              <w:t>11767</w:t>
            </w:r>
          </w:p>
        </w:tc>
      </w:tr>
      <w:tr w14:paraId="21A6D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7F0F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B6D42A6">
            <w:pPr>
              <w:spacing w:before="0" w:after="0" w:line="240" w:lineRule="auto"/>
              <w:jc w:val="left"/>
            </w:pPr>
            <w:r>
              <w:rPr>
                <w:b/>
              </w:rPr>
              <w:t>Naziv obveznika</w:t>
            </w:r>
          </w:p>
        </w:tc>
        <w:tc>
          <w:tcPr>
            <w:shd w:val="clear" w:color="auto" w:fill="E7F0F9"/>
          </w:tcPr>
          <w:p w14:paraId="1B7B5173">
            <w:pPr>
              <w:spacing w:before="0" w:after="0" w:line="240" w:lineRule="auto"/>
              <w:jc w:val="left"/>
            </w:pPr>
            <w:r>
              <w:t>OSNOVNA ŠKOLA PETAR ZORANIĆ</w:t>
            </w:r>
          </w:p>
        </w:tc>
      </w:tr>
      <w:tr w14:paraId="0B615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7F0F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4618EFA">
            <w:pPr>
              <w:spacing w:before="0" w:after="0" w:line="240" w:lineRule="auto"/>
              <w:jc w:val="left"/>
            </w:pPr>
            <w:r>
              <w:rPr>
                <w:b/>
              </w:rPr>
              <w:t>Razina</w:t>
            </w:r>
          </w:p>
        </w:tc>
        <w:tc>
          <w:tcPr>
            <w:shd w:val="clear" w:color="auto" w:fill="E7F0F9"/>
          </w:tcPr>
          <w:p w14:paraId="174BF2C7">
            <w:pPr>
              <w:spacing w:before="0" w:after="0" w:line="240" w:lineRule="auto"/>
              <w:jc w:val="left"/>
            </w:pPr>
            <w:r>
              <w:t>31</w:t>
            </w:r>
          </w:p>
        </w:tc>
      </w:tr>
    </w:tbl>
    <w:p w14:paraId="1E6C20AE">
      <w:r>
        <w:br w:type="textWrapping"/>
      </w:r>
    </w:p>
    <w:p w14:paraId="0B32499E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BILJEŠKE UZ FINANCIJSKE IZVJEŠTAJE</w:t>
      </w:r>
    </w:p>
    <w:p w14:paraId="10D4CE3A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ZA RAZDOBLJE</w:t>
      </w:r>
    </w:p>
    <w:p w14:paraId="776AD3E9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I - VI 2026.</w:t>
      </w:r>
    </w:p>
    <w:p w14:paraId="0A038A05"/>
    <w:p w14:paraId="702076B8">
      <w:pPr>
        <w:keepNext/>
        <w:spacing w:line="240" w:lineRule="auto"/>
        <w:jc w:val="center"/>
      </w:pPr>
      <w:r>
        <w:rPr>
          <w:rFonts w:ascii="Times New Roman" w:hAnsi="Times New Roman"/>
          <w:b/>
          <w:sz w:val="28"/>
        </w:rPr>
        <w:t>Izvještaj o prihodima i rashodima, primicima i izdacima</w:t>
      </w:r>
    </w:p>
    <w:p w14:paraId="2BD242E7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1.</w:t>
      </w:r>
    </w:p>
    <w:tbl>
      <w:tblPr>
        <w:tblStyle w:val="3"/>
        <w:tblW w:w="0" w:type="auto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 w14:paraId="08106DB5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B9C89D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E14A2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9F4EAE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DACA62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C6D482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E9C7B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3CDD5B54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678FECF2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2BD3FF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E9F67AE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236B9B4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885.747,82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83F6B0D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879.738,03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E1A5B11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99,3</w:t>
            </w:r>
          </w:p>
        </w:tc>
      </w:tr>
      <w:tr w14:paraId="46AE5B24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68E102F1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A3F1816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RASHODI POSLOVANJA (šifre 31+32+34+35+36+37+38)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F8CB2D9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2974968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911.636,66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E772B3D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879.023,52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54E9162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96,4</w:t>
            </w:r>
          </w:p>
        </w:tc>
      </w:tr>
      <w:tr w14:paraId="70D6FA18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21732B56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BFEF721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VIŠAK PRIHODA POSLOVANJA (šifre 6-Z005)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6B98653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1667B0B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C171D89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714,51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4373B65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</w:tr>
      <w:tr w14:paraId="29B1C73E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2A0D0663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4B5FC6C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09B127D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8E3603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F66728D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9304101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14:paraId="72B24D96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4C3D192C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639ACE5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0D6EFBF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30C1B89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65.931,08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8A1FCE6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27.846,45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C57182B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42,2</w:t>
            </w:r>
          </w:p>
        </w:tc>
      </w:tr>
      <w:tr w14:paraId="57BA78E0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72010B9E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906F946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1669E87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E407A38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65.931,08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737F222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27.846,45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59CAD4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42,2</w:t>
            </w:r>
          </w:p>
        </w:tc>
      </w:tr>
      <w:tr w14:paraId="68BB8D88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2577B6BD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556358E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EF3F7DD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88F2A20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DA53F61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60570EA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14:paraId="6454F47B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683004D4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0CB2576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A2580A3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134F0781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6124409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DF643E2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14:paraId="4135151A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3CBBC2F1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A8073DA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FE4D232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B68EB11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23D4214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58E21959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</w:tr>
      <w:tr w14:paraId="41626E49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28CBCB0A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F038A8F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4FCD78B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b/>
                <w:sz w:val="18"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64DE8097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91.819,92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4BBDEE3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27.131,94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77DA2C55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29,5</w:t>
            </w:r>
          </w:p>
        </w:tc>
      </w:tr>
    </w:tbl>
    <w:p w14:paraId="0ACBBABE">
      <w:pPr>
        <w:spacing w:before="0" w:after="0"/>
      </w:pPr>
    </w:p>
    <w:p w14:paraId="38F078E5">
      <w:r>
        <w:t>Prihodi poslovanja u razdoblju od 1. siječnja do 30.lipnja 2026. godine ostvareni su u iznosu 897.738,03 eura, s indeksom 99,3 % u odnosu na isto obračunsko razdoblje prethodne 2025. godine. Rashodi poslovanja u tekućem razdoblju ostvareni su u iznosu od 897.023,52 eura s indeksom 96,4 % u odnosu na isto obračunsko razdoblje prethodne 2025. godine. U prošlom obračunskom razdoblju imali smo 7 rashoda, dok smo u ovom imali 6 rashoda pa je iz tog razloga rashod za ovo razdoblje manji.</w:t>
      </w:r>
    </w:p>
    <w:p w14:paraId="32E4B2B3">
      <w:r>
        <w:br w:type="textWrapping"/>
      </w:r>
    </w:p>
    <w:p w14:paraId="692F5A1B">
      <w:pPr>
        <w:keepNext/>
        <w:spacing w:line="240" w:lineRule="auto"/>
        <w:jc w:val="center"/>
      </w:pPr>
      <w:r>
        <w:rPr>
          <w:rFonts w:ascii="Times New Roman" w:hAnsi="Times New Roman"/>
          <w:b/>
          <w:sz w:val="28"/>
        </w:rPr>
        <w:t>Izvještaj o obvezama</w:t>
      </w:r>
    </w:p>
    <w:p w14:paraId="1A691B56">
      <w:pPr>
        <w:keepNext/>
        <w:spacing w:line="240" w:lineRule="auto"/>
        <w:jc w:val="center"/>
      </w:pPr>
      <w:r>
        <w:rPr>
          <w:rFonts w:ascii="Times New Roman" w:hAnsi="Times New Roman"/>
          <w:sz w:val="28"/>
        </w:rPr>
        <w:t>Bilješka 2.</w:t>
      </w:r>
    </w:p>
    <w:tbl>
      <w:tblPr>
        <w:tblStyle w:val="3"/>
        <w:tblW w:w="9000" w:type="dxa"/>
        <w:tblInd w:w="0" w:type="dxa"/>
        <w:tblBorders>
          <w:top w:val="single" w:color="BABABA" w:sz="12" w:space="0"/>
          <w:left w:val="single" w:color="BABABA" w:sz="12" w:space="0"/>
          <w:bottom w:val="single" w:color="BABABA" w:sz="12" w:space="0"/>
          <w:right w:val="single" w:color="BABABA" w:sz="12" w:space="0"/>
          <w:insideH w:val="single" w:color="BABABA" w:sz="8" w:space="0"/>
          <w:insideV w:val="single" w:color="DADADA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 w14:paraId="42ED26C4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7160A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990BEC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C26960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3FAEA4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FCBB59">
            <w:pPr>
              <w:keepNext/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Indeks (%)</w:t>
            </w:r>
          </w:p>
        </w:tc>
      </w:tr>
      <w:tr w14:paraId="3521A1EE">
        <w:tblPrEx>
          <w:tblBorders>
            <w:top w:val="single" w:color="BABABA" w:sz="12" w:space="0"/>
            <w:left w:val="single" w:color="BABABA" w:sz="12" w:space="0"/>
            <w:bottom w:val="single" w:color="BABABA" w:sz="12" w:space="0"/>
            <w:right w:val="single" w:color="BABABA" w:sz="12" w:space="0"/>
            <w:insideH w:val="single" w:color="BABABA" w:sz="8" w:space="0"/>
            <w:insideV w:val="single" w:color="DADADA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60" w:hRule="atLeast"/>
        </w:trPr>
        <w:tc>
          <w:tcPr>
            <w:tcMar>
              <w:top w:w="0" w:type="dxa"/>
              <w:bottom w:w="0" w:type="dxa"/>
            </w:tcMar>
            <w:vAlign w:val="center"/>
          </w:tcPr>
          <w:p w14:paraId="4DA31C2B">
            <w:pPr>
              <w:keepNext/>
              <w:keepLines/>
              <w:spacing w:before="0" w:after="0" w:line="240" w:lineRule="auto"/>
              <w:jc w:val="left"/>
            </w:pP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4466FDF2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0EAB0A61">
            <w:pPr>
              <w:keepNext/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18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3059155C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32.269,88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 w14:paraId="2CE0A189"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</w:tbl>
    <w:p w14:paraId="44F5CF39">
      <w:pPr>
        <w:spacing w:before="0" w:after="0"/>
      </w:pPr>
    </w:p>
    <w:p w14:paraId="784D6B57">
      <w:r>
        <w:t>Stanje obveza na kraju ovog izvještajnog razdoblja iznose 152.162,07 eura i odnose se na obveze za materijalne rashode i obveze za zaposlene. Sve obveze će se podmiriti u nadolazećem razdoblju.</w:t>
      </w:r>
    </w:p>
    <w:p w14:paraId="085157EC"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BF0E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/>
      <w:sz w:val="24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309</Words>
  <Characters>1741</Characters>
  <TotalTime>0</TotalTime>
  <ScaleCrop>false</ScaleCrop>
  <LinksUpToDate>false</LinksUpToDate>
  <CharactersWithSpaces>1964</CharactersWithSpaces>
  <Application>WPS Office_12.1.0.27458_F1E327BC-269C-435d-A152-05C5408002CA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2026-07-22T11:01:43Z</dcterms:created>
  <dc:creator>User081</dc:creator>
  <cp:lastModifiedBy>WPS_1783072735</cp:lastModifiedBy>
  <dcterms:modified xsi:type="dcterms:W3CDTF">2026-07-22T11:02:01Z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E0B846ECAD6D4F89B0FF5A46D3B3473F_13</vt:lpwstr>
  </property>
</Properties>
</file>